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2A" w:rsidRDefault="003E7B2A" w:rsidP="003E7B2A">
      <w:pPr>
        <w:jc w:val="center"/>
        <w:rPr>
          <w:b/>
        </w:rPr>
      </w:pPr>
      <w:r>
        <w:rPr>
          <w:b/>
        </w:rPr>
        <w:t>РОССИЙСКАЯ ФЕДЕРАЦИЯ</w:t>
      </w:r>
    </w:p>
    <w:p w:rsidR="003E7B2A" w:rsidRDefault="003E7B2A" w:rsidP="003E7B2A">
      <w:pPr>
        <w:jc w:val="center"/>
        <w:rPr>
          <w:b/>
        </w:rPr>
      </w:pPr>
      <w:r>
        <w:rPr>
          <w:b/>
        </w:rPr>
        <w:t>ИРКУТСКАЯ ОБЛАСТЬ</w:t>
      </w:r>
    </w:p>
    <w:p w:rsidR="003E7B2A" w:rsidRDefault="003E7B2A" w:rsidP="003E7B2A">
      <w:pPr>
        <w:jc w:val="center"/>
        <w:rPr>
          <w:b/>
        </w:rPr>
      </w:pPr>
      <w:r>
        <w:rPr>
          <w:b/>
        </w:rPr>
        <w:t>УСТЬ-УДИНСКИЙ РАЙОН</w:t>
      </w:r>
    </w:p>
    <w:p w:rsidR="003E7B2A" w:rsidRDefault="003E7B2A" w:rsidP="003E7B2A">
      <w:pPr>
        <w:jc w:val="center"/>
        <w:rPr>
          <w:b/>
        </w:rPr>
      </w:pPr>
    </w:p>
    <w:p w:rsidR="003E7B2A" w:rsidRDefault="003E7B2A" w:rsidP="003E7B2A">
      <w:pPr>
        <w:jc w:val="center"/>
        <w:rPr>
          <w:b/>
        </w:rPr>
      </w:pPr>
      <w:r>
        <w:rPr>
          <w:b/>
        </w:rPr>
        <w:t xml:space="preserve">СРЕДНЕМУЙСКОЕ </w:t>
      </w:r>
      <w:proofErr w:type="gramStart"/>
      <w:r>
        <w:rPr>
          <w:b/>
        </w:rPr>
        <w:t>МУНИЦИПАЛЬНОЕ</w:t>
      </w:r>
      <w:proofErr w:type="gramEnd"/>
      <w:r>
        <w:rPr>
          <w:b/>
        </w:rPr>
        <w:t xml:space="preserve"> ОБРАЗОВАНИЯ</w:t>
      </w:r>
    </w:p>
    <w:p w:rsidR="003E7B2A" w:rsidRDefault="003E7B2A" w:rsidP="003E7B2A">
      <w:pPr>
        <w:jc w:val="center"/>
        <w:rPr>
          <w:b/>
        </w:rPr>
      </w:pPr>
      <w:r>
        <w:rPr>
          <w:b/>
        </w:rPr>
        <w:t>АДМИНИСТРАЦИЯ</w:t>
      </w:r>
    </w:p>
    <w:p w:rsidR="003E7B2A" w:rsidRDefault="003E7B2A" w:rsidP="003E7B2A">
      <w:pPr>
        <w:rPr>
          <w:b/>
        </w:rPr>
      </w:pPr>
    </w:p>
    <w:p w:rsidR="003E7B2A" w:rsidRDefault="003E7B2A" w:rsidP="003E7B2A">
      <w:pPr>
        <w:jc w:val="center"/>
        <w:rPr>
          <w:b/>
        </w:rPr>
      </w:pPr>
      <w:r>
        <w:rPr>
          <w:b/>
        </w:rPr>
        <w:t>ПОСТАНОВЛЕНИЕ</w:t>
      </w:r>
    </w:p>
    <w:p w:rsidR="003E7B2A" w:rsidRDefault="003E7B2A" w:rsidP="003E7B2A">
      <w:pPr>
        <w:jc w:val="center"/>
        <w:rPr>
          <w:b/>
        </w:rPr>
      </w:pPr>
    </w:p>
    <w:p w:rsidR="003E7B2A" w:rsidRDefault="003E7B2A" w:rsidP="003E7B2A">
      <w:r>
        <w:t>От 10.06. 2015 г.      № 8</w:t>
      </w:r>
    </w:p>
    <w:p w:rsidR="003E7B2A" w:rsidRDefault="003E7B2A" w:rsidP="003E7B2A">
      <w:r>
        <w:t>С. Средняя Муя</w:t>
      </w:r>
    </w:p>
    <w:p w:rsidR="003E7B2A" w:rsidRDefault="003E7B2A" w:rsidP="003E7B2A">
      <w:pPr>
        <w:jc w:val="center"/>
      </w:pPr>
      <w:proofErr w:type="gramStart"/>
      <w:r>
        <w:t>с</w:t>
      </w:r>
      <w:proofErr w:type="gramEnd"/>
      <w:r>
        <w:t>. Средняя Муя</w:t>
      </w:r>
    </w:p>
    <w:p w:rsidR="003E7B2A" w:rsidRDefault="003E7B2A" w:rsidP="003E7B2A"/>
    <w:p w:rsidR="003E7B2A" w:rsidRDefault="003E7B2A" w:rsidP="003E7B2A">
      <w:r>
        <w:t xml:space="preserve">О внесении изменений в </w:t>
      </w:r>
      <w:proofErr w:type="gramStart"/>
      <w:r>
        <w:t>муниципальную</w:t>
      </w:r>
      <w:proofErr w:type="gramEnd"/>
    </w:p>
    <w:p w:rsidR="003E7B2A" w:rsidRDefault="003E7B2A" w:rsidP="003E7B2A">
      <w:r>
        <w:t xml:space="preserve"> целевую программу «Переселение</w:t>
      </w:r>
    </w:p>
    <w:p w:rsidR="003E7B2A" w:rsidRDefault="003E7B2A" w:rsidP="003E7B2A">
      <w:r>
        <w:t xml:space="preserve"> граждан из </w:t>
      </w:r>
      <w:proofErr w:type="gramStart"/>
      <w:r>
        <w:t>ветхого</w:t>
      </w:r>
      <w:proofErr w:type="gramEnd"/>
      <w:r>
        <w:t xml:space="preserve"> и аварийного</w:t>
      </w:r>
    </w:p>
    <w:p w:rsidR="003E7B2A" w:rsidRDefault="003E7B2A" w:rsidP="003E7B2A">
      <w:r>
        <w:t xml:space="preserve"> жилищного фонда в Среднемуйском</w:t>
      </w:r>
    </w:p>
    <w:p w:rsidR="003E7B2A" w:rsidRDefault="003E7B2A" w:rsidP="003E7B2A">
      <w:r>
        <w:t xml:space="preserve"> муниципальном образовании» </w:t>
      </w:r>
      <w:proofErr w:type="gramStart"/>
      <w:r>
        <w:t>на</w:t>
      </w:r>
      <w:proofErr w:type="gramEnd"/>
    </w:p>
    <w:p w:rsidR="003E7B2A" w:rsidRDefault="003E7B2A" w:rsidP="003E7B2A">
      <w:r>
        <w:t>период 2014-2020 годы»</w:t>
      </w:r>
    </w:p>
    <w:p w:rsidR="003E7B2A" w:rsidRDefault="003E7B2A" w:rsidP="003E7B2A">
      <w:pPr>
        <w:jc w:val="center"/>
        <w:rPr>
          <w:b/>
          <w:sz w:val="28"/>
          <w:szCs w:val="28"/>
        </w:rPr>
      </w:pPr>
    </w:p>
    <w:p w:rsidR="003E7B2A" w:rsidRDefault="003E7B2A" w:rsidP="003E7B2A">
      <w:pPr>
        <w:jc w:val="center"/>
        <w:rPr>
          <w:b/>
          <w:sz w:val="24"/>
          <w:szCs w:val="24"/>
        </w:rPr>
      </w:pPr>
    </w:p>
    <w:p w:rsidR="003E7B2A" w:rsidRDefault="003E7B2A" w:rsidP="003E7B2A">
      <w:pPr>
        <w:ind w:firstLine="360"/>
        <w:jc w:val="both"/>
      </w:pPr>
      <w:proofErr w:type="gramStart"/>
      <w:r>
        <w:t>С целью обеспечения жильем граждан, проживающих в домах, признанных непригодными для постоянного проживания, и ликвидации аварийного жилищного фонда в соответствии с постановлением Правительства Иркутской области от 24 октября 2013 года № 443-пп «Об утверждении государственной программы Иркутской области «Доступное жилье» на 2014 – 2020 годы, в редакции постановления Правительства Иркутской области от 28.05.2015 г. № 268-пп, Федеральным законом «Об общих принципах организации местного</w:t>
      </w:r>
      <w:proofErr w:type="gramEnd"/>
      <w:r>
        <w:t xml:space="preserve"> самоуправления в РФ» № 131-ФЗ от 06.10.2003 г., руководствуясь Уставом Среднемуйского муниципального образования, </w:t>
      </w:r>
    </w:p>
    <w:p w:rsidR="003E7B2A" w:rsidRDefault="003E7B2A" w:rsidP="003E7B2A">
      <w:pPr>
        <w:ind w:firstLine="360"/>
        <w:jc w:val="both"/>
      </w:pPr>
    </w:p>
    <w:p w:rsidR="003E7B2A" w:rsidRDefault="003E7B2A" w:rsidP="003E7B2A">
      <w:pPr>
        <w:ind w:firstLine="360"/>
        <w:jc w:val="center"/>
      </w:pPr>
      <w:r>
        <w:t>ПОСТАНОВЛЯЮ:</w:t>
      </w:r>
    </w:p>
    <w:p w:rsidR="003E7B2A" w:rsidRDefault="003E7B2A" w:rsidP="003E7B2A">
      <w:pPr>
        <w:jc w:val="both"/>
      </w:pPr>
    </w:p>
    <w:p w:rsidR="003E7B2A" w:rsidRDefault="003E7B2A" w:rsidP="003E7B2A">
      <w:pPr>
        <w:jc w:val="both"/>
      </w:pPr>
    </w:p>
    <w:p w:rsidR="003E7B2A" w:rsidRDefault="003E7B2A" w:rsidP="003E7B2A">
      <w:pPr>
        <w:numPr>
          <w:ilvl w:val="0"/>
          <w:numId w:val="2"/>
        </w:numPr>
        <w:jc w:val="both"/>
      </w:pPr>
      <w:r>
        <w:t>Внести изменения в муниципальную программу «Переселение граждан из ветхого и аварийного жилищного фонда в Среднемуйском муниципальном образовании на период 2014-2020 годы», (далее -  программа), изложив ее в новой редакции и утвердить Программу (Приложение № 1)</w:t>
      </w:r>
    </w:p>
    <w:p w:rsidR="003E7B2A" w:rsidRDefault="003E7B2A" w:rsidP="003E7B2A">
      <w:pPr>
        <w:numPr>
          <w:ilvl w:val="0"/>
          <w:numId w:val="2"/>
        </w:numPr>
        <w:jc w:val="both"/>
      </w:pPr>
      <w:r>
        <w:t>Муниципальную целевую программу «Переселение граждан из ветхого и аварийного жилищного фонда в Среднемуйском муниципальном образовании на период до 2019 года», утвержденную Постановлением  администрации от 26.05.2014 №15 считать утратившей силу.</w:t>
      </w:r>
    </w:p>
    <w:p w:rsidR="003E7B2A" w:rsidRDefault="003E7B2A" w:rsidP="003E7B2A">
      <w:pPr>
        <w:numPr>
          <w:ilvl w:val="0"/>
          <w:numId w:val="2"/>
        </w:numPr>
        <w:jc w:val="both"/>
      </w:pPr>
      <w:r>
        <w:t xml:space="preserve"> Опубликовать данное постановление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вестник».</w:t>
      </w:r>
    </w:p>
    <w:p w:rsidR="003E7B2A" w:rsidRDefault="003E7B2A" w:rsidP="003E7B2A">
      <w:pPr>
        <w:jc w:val="center"/>
      </w:pPr>
    </w:p>
    <w:p w:rsidR="003E7B2A" w:rsidRDefault="003E7B2A" w:rsidP="003E7B2A">
      <w:pPr>
        <w:jc w:val="center"/>
      </w:pPr>
    </w:p>
    <w:p w:rsidR="003E7B2A" w:rsidRDefault="003E7B2A" w:rsidP="003E7B2A">
      <w:pPr>
        <w:jc w:val="center"/>
      </w:pPr>
    </w:p>
    <w:p w:rsidR="003E7B2A" w:rsidRDefault="003E7B2A" w:rsidP="003E7B2A">
      <w:pPr>
        <w:jc w:val="both"/>
      </w:pPr>
      <w:r>
        <w:t xml:space="preserve">Глава администрации </w:t>
      </w:r>
    </w:p>
    <w:p w:rsidR="003E7B2A" w:rsidRDefault="003E7B2A" w:rsidP="003E7B2A">
      <w:pPr>
        <w:jc w:val="both"/>
      </w:pPr>
      <w:r>
        <w:t>Среднемуйского сельского поселения                                                А. А. Лифа</w:t>
      </w:r>
    </w:p>
    <w:p w:rsidR="003E7B2A" w:rsidRDefault="003E7B2A" w:rsidP="003E7B2A">
      <w:pPr>
        <w:jc w:val="both"/>
      </w:pPr>
    </w:p>
    <w:p w:rsidR="003E7B2A" w:rsidRDefault="003E7B2A" w:rsidP="003E7B2A">
      <w:pPr>
        <w:tabs>
          <w:tab w:val="left" w:pos="6495"/>
        </w:tabs>
        <w:ind w:left="5954"/>
      </w:pPr>
    </w:p>
    <w:p w:rsidR="003E7B2A" w:rsidRDefault="003E7B2A" w:rsidP="003E7B2A">
      <w:pPr>
        <w:tabs>
          <w:tab w:val="left" w:pos="6495"/>
        </w:tabs>
        <w:ind w:left="5954"/>
      </w:pPr>
      <w:r>
        <w:t>Приложение № 1 к постановлению администрации Среднемуйского МО от 10.06.2015 года № 8</w:t>
      </w:r>
    </w:p>
    <w:p w:rsidR="003E7B2A" w:rsidRDefault="003E7B2A" w:rsidP="003E7B2A">
      <w:pPr>
        <w:tabs>
          <w:tab w:val="left" w:pos="2010"/>
          <w:tab w:val="center" w:pos="4960"/>
          <w:tab w:val="left" w:pos="7935"/>
        </w:tabs>
        <w:jc w:val="center"/>
        <w:rPr>
          <w:sz w:val="28"/>
          <w:szCs w:val="28"/>
        </w:rPr>
      </w:pPr>
    </w:p>
    <w:p w:rsidR="003E7B2A" w:rsidRDefault="003E7B2A" w:rsidP="003E7B2A">
      <w:pPr>
        <w:tabs>
          <w:tab w:val="left" w:pos="2010"/>
          <w:tab w:val="center" w:pos="4960"/>
          <w:tab w:val="left" w:pos="7935"/>
        </w:tabs>
        <w:jc w:val="center"/>
        <w:rPr>
          <w:sz w:val="24"/>
          <w:szCs w:val="24"/>
        </w:rPr>
      </w:pPr>
    </w:p>
    <w:p w:rsidR="003E7B2A" w:rsidRDefault="003E7B2A" w:rsidP="003E7B2A">
      <w:pPr>
        <w:tabs>
          <w:tab w:val="left" w:pos="1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E7B2A" w:rsidRDefault="003E7B2A" w:rsidP="003E7B2A">
      <w:pPr>
        <w:tabs>
          <w:tab w:val="left" w:pos="2010"/>
        </w:tabs>
        <w:jc w:val="center"/>
        <w:rPr>
          <w:sz w:val="28"/>
          <w:szCs w:val="28"/>
        </w:rPr>
      </w:pPr>
    </w:p>
    <w:p w:rsidR="003E7B2A" w:rsidRDefault="003E7B2A" w:rsidP="003E7B2A">
      <w:pPr>
        <w:tabs>
          <w:tab w:val="left" w:pos="2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ЦЕЛЕВОЙ  ПРОГРАММЫ</w:t>
      </w:r>
    </w:p>
    <w:p w:rsidR="003E7B2A" w:rsidRDefault="003E7B2A" w:rsidP="003E7B2A">
      <w:pPr>
        <w:tabs>
          <w:tab w:val="left" w:pos="36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«ПЕРЕСЕЛЕНИЕ  ГРАЖДАН  ИЗ  </w:t>
      </w:r>
      <w:proofErr w:type="gramStart"/>
      <w:r>
        <w:rPr>
          <w:sz w:val="28"/>
          <w:szCs w:val="28"/>
        </w:rPr>
        <w:t>ВЕТХОГО</w:t>
      </w:r>
      <w:proofErr w:type="gramEnd"/>
      <w:r>
        <w:rPr>
          <w:sz w:val="28"/>
          <w:szCs w:val="28"/>
        </w:rPr>
        <w:t xml:space="preserve">  И  АВАРИЙНОГО</w:t>
      </w:r>
    </w:p>
    <w:p w:rsidR="003E7B2A" w:rsidRDefault="003E7B2A" w:rsidP="003E7B2A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ФОНДА  В СРЕДНЕМУЙСКОМ  </w:t>
      </w:r>
      <w:proofErr w:type="gramStart"/>
      <w:r>
        <w:rPr>
          <w:sz w:val="28"/>
          <w:szCs w:val="28"/>
        </w:rPr>
        <w:t>МУНИЦИПАЛЬНОМ</w:t>
      </w:r>
      <w:proofErr w:type="gramEnd"/>
    </w:p>
    <w:p w:rsidR="003E7B2A" w:rsidRDefault="003E7B2A" w:rsidP="003E7B2A">
      <w:pPr>
        <w:tabs>
          <w:tab w:val="left" w:pos="1320"/>
          <w:tab w:val="left" w:pos="1530"/>
          <w:tab w:val="left" w:pos="2595"/>
          <w:tab w:val="left" w:pos="3705"/>
          <w:tab w:val="left" w:pos="393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НА  ПЕРИОД   2014 - 2020 ГОДЫ</w:t>
      </w:r>
    </w:p>
    <w:p w:rsidR="003E7B2A" w:rsidRDefault="003E7B2A" w:rsidP="003E7B2A">
      <w:pPr>
        <w:tabs>
          <w:tab w:val="left" w:pos="3465"/>
        </w:tabs>
        <w:jc w:val="both"/>
        <w:rPr>
          <w:sz w:val="28"/>
          <w:szCs w:val="28"/>
        </w:rPr>
      </w:pPr>
    </w:p>
    <w:p w:rsidR="003E7B2A" w:rsidRDefault="003E7B2A" w:rsidP="003E7B2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6860"/>
      </w:tblGrid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Наименование 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«Переселение граждан из ветхого и аварийного жилищного фонда в Среднемуйском муниципальном образовании» на период  2014 - 2020 годы  (далее – Программа) </w:t>
            </w:r>
          </w:p>
        </w:tc>
      </w:tr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 исполнитель 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A" w:rsidRDefault="003E7B2A">
            <w:pPr>
              <w:spacing w:line="276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Среднемуйского муниципального образования   и  отдел  строительства,  архитектуры и жилищной политики администрации  районного муниципального образования  «</w:t>
            </w:r>
            <w:proofErr w:type="spellStart"/>
            <w:r>
              <w:rPr>
                <w:sz w:val="28"/>
                <w:szCs w:val="28"/>
                <w:lang w:eastAsia="en-US"/>
              </w:rPr>
              <w:t>Усть-Удинский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район»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жильем граждан,  проживающих  в домах,  признанных  непригодными для постоянного  проживания и ликвидация ветхого и аварийного жилищного фонда,  признанного таковым  до  1 января 2012 года    </w:t>
            </w:r>
          </w:p>
        </w:tc>
      </w:tr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Обеспечение жильем граждан,  проживающих  в  домах,  признанных  непригодными  для  постоянного  проживания</w:t>
            </w:r>
          </w:p>
        </w:tc>
      </w:tr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ind w:left="12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2014  -  2020  годы </w:t>
            </w:r>
          </w:p>
        </w:tc>
      </w:tr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 основных  мероприятий 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ind w:left="12"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 жильем  граждан,  проживающих  в  домах,  признанных  непригодными  для  постоянного  проживания</w:t>
            </w:r>
          </w:p>
        </w:tc>
      </w:tr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Ресурсное  обеспечение  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2A" w:rsidRDefault="003E7B2A">
            <w:pPr>
              <w:spacing w:line="276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 объем  финансирования  Программы  составляет  61266,46тыс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уб.,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том  числе  по  годам: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2014  год  -   2983,96тыс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2015  год  -   51612,6тыс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 год  -  0,00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2017  год  -  0,00тыс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2018  год  -  2223,30тыс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2019  год  -  2223,30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 год  -  2223,30тыс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из  них: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предполагаемые  средства  областного  бюджета  -  59951,50тыс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 том  числе  по  годам: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2014  год  -   2834,80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2015  год  -   50 580,30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 год  -   0,00тыс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2017  год  -  0,00тыс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2018  год  -  2178,80тыс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2019  год  -  2178,80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 год  -  2178,80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4"/>
                <w:szCs w:val="24"/>
                <w:lang w:eastAsia="en-US"/>
              </w:rPr>
            </w:pP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предполагаемые средства  местного  бюджета  -  1314,96тыс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2014  год  -     149,125тыс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2015  год  -     1 032,3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 год  -     0,00тыс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2017  год  -    0,00тыс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2018  год  -    44,512тыс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2019  год  -    44,512тыс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2020  год  -     44,511тыс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E7B2A" w:rsidRDefault="003E7B2A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 реализации  Программы.</w:t>
            </w:r>
          </w:p>
        </w:tc>
      </w:tr>
      <w:tr w:rsidR="003E7B2A" w:rsidTr="003E7B2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tabs>
                <w:tab w:val="left" w:pos="1395"/>
                <w:tab w:val="left" w:pos="405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 конечные</w:t>
            </w:r>
          </w:p>
          <w:p w:rsidR="003E7B2A" w:rsidRDefault="003E7B2A">
            <w:pPr>
              <w:tabs>
                <w:tab w:val="left" w:pos="1395"/>
                <w:tab w:val="left" w:pos="405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реализации</w:t>
            </w:r>
          </w:p>
          <w:p w:rsidR="003E7B2A" w:rsidRDefault="003E7B2A">
            <w:pPr>
              <w:tabs>
                <w:tab w:val="left" w:pos="1395"/>
                <w:tab w:val="left" w:pos="40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2A" w:rsidRDefault="003E7B2A">
            <w:pPr>
              <w:tabs>
                <w:tab w:val="left" w:pos="-108"/>
              </w:tabs>
              <w:spacing w:line="276" w:lineRule="auto"/>
              <w:ind w:right="1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Планируется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3E7B2A" w:rsidRDefault="003E7B2A" w:rsidP="003E7B2A">
            <w:pPr>
              <w:numPr>
                <w:ilvl w:val="0"/>
                <w:numId w:val="3"/>
              </w:numPr>
              <w:tabs>
                <w:tab w:val="left" w:pos="-108"/>
                <w:tab w:val="num" w:pos="492"/>
              </w:tabs>
              <w:spacing w:line="276" w:lineRule="auto"/>
              <w:ind w:left="132" w:right="139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Ввести  в  эксплуатацию  -  2322  кв.м.  нового  жилья.</w:t>
            </w:r>
          </w:p>
          <w:p w:rsidR="003E7B2A" w:rsidRDefault="003E7B2A" w:rsidP="003E7B2A">
            <w:pPr>
              <w:numPr>
                <w:ilvl w:val="0"/>
                <w:numId w:val="3"/>
              </w:numPr>
              <w:tabs>
                <w:tab w:val="left" w:pos="-108"/>
                <w:tab w:val="num" w:pos="252"/>
              </w:tabs>
              <w:spacing w:line="276" w:lineRule="auto"/>
              <w:ind w:left="132" w:right="139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 -  2322  кв.м.    существующего  в  Среднемуйском  муниципальном  образовании  непригодного  для  проживания жилищного  фонда.</w:t>
            </w:r>
          </w:p>
          <w:p w:rsidR="003E7B2A" w:rsidRDefault="003E7B2A">
            <w:pPr>
              <w:tabs>
                <w:tab w:val="left" w:pos="-108"/>
              </w:tabs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3.  Обеспечить  выполнение  обязательств  по  переселению  42  семей из  непригодного  для  проживания  жилищного  фонда  в  Среднемуйском  муниципальном  образовании.</w:t>
            </w:r>
          </w:p>
        </w:tc>
      </w:tr>
    </w:tbl>
    <w:p w:rsidR="003E7B2A" w:rsidRDefault="003E7B2A" w:rsidP="003E7B2A">
      <w:pPr>
        <w:tabs>
          <w:tab w:val="left" w:pos="2085"/>
        </w:tabs>
        <w:jc w:val="both"/>
      </w:pPr>
    </w:p>
    <w:p w:rsidR="003E7B2A" w:rsidRDefault="003E7B2A" w:rsidP="003E7B2A">
      <w:pPr>
        <w:tabs>
          <w:tab w:val="left" w:pos="96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По данным формы № 1 - жилфонд  Среднемуйского муниципального образования  на 01.01.2012 года сосредоточено 20 695 кв. метров жилищного фонда, из которого аварийным является – 4810 кв. м. и ветхим – 5968 кв.м. </w:t>
      </w:r>
      <w:r>
        <w:rPr>
          <w:sz w:val="28"/>
          <w:szCs w:val="28"/>
        </w:rPr>
        <w:tab/>
      </w:r>
    </w:p>
    <w:p w:rsidR="003E7B2A" w:rsidRDefault="003E7B2A" w:rsidP="003E7B2A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результате обследования жилищного фонда, проведенного муниципальным образованием, были сформированы реестры ветхого и аварийного жилищного фонда (приложение № 1,2,3).</w:t>
      </w:r>
    </w:p>
    <w:p w:rsidR="003E7B2A" w:rsidRDefault="003E7B2A" w:rsidP="003E7B2A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Из-за большого объема непригодного для  постоянного  проживания жилищного фонда, ограниченных возможностей местного бюджета и несовершенства муниципальное образование самостоятельно не может в полном объеме осуществить строительство жилья для переселения граждан, проживающих в жилых домах, не отвечающих установленным санитарным и техническим требованиям, поэтому необходимы финансовые средства областного бюджета.</w:t>
      </w:r>
    </w:p>
    <w:p w:rsidR="003E7B2A" w:rsidRDefault="003E7B2A" w:rsidP="003E7B2A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Согласно посланию Президента Российской Федерации Путина В.В. Федеральному собранию Российской Федерации  на 2013 год в  2013-2014 годах требуется значительно продвинуться в решении проблемы расселения аварийного жилья. В ближайшие  годы из таких домов в новые квартиры  должны переехать все граждане, которые признаны на 1 января 2012 года нуждающимися в улучшении жилищных условий в связи  с аварийным состоянием их жилища. </w:t>
      </w:r>
    </w:p>
    <w:p w:rsidR="003E7B2A" w:rsidRDefault="003E7B2A" w:rsidP="003E7B2A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в установленные сроки необходимо разработать комплекс мер, направленных на решение задач, связанных с ликвидацией аварийного жилищного фонда.   </w:t>
      </w:r>
    </w:p>
    <w:p w:rsidR="003E7B2A" w:rsidRDefault="003E7B2A" w:rsidP="003E7B2A">
      <w:pPr>
        <w:tabs>
          <w:tab w:val="left" w:pos="20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 разработана муниципальная целевая программа «Переселение граждан из ветхого и аварийного жилищного фонда в Среднемуйском  муниципальном образовании» на период   2014 – 2020 годы.</w:t>
      </w:r>
    </w:p>
    <w:p w:rsidR="003E7B2A" w:rsidRDefault="003E7B2A" w:rsidP="003E7B2A">
      <w:pPr>
        <w:tabs>
          <w:tab w:val="left" w:pos="2085"/>
        </w:tabs>
        <w:ind w:firstLine="708"/>
        <w:jc w:val="both"/>
        <w:rPr>
          <w:sz w:val="28"/>
          <w:szCs w:val="28"/>
        </w:rPr>
      </w:pPr>
    </w:p>
    <w:p w:rsidR="003E7B2A" w:rsidRDefault="003E7B2A" w:rsidP="003E7B2A">
      <w:pPr>
        <w:tabs>
          <w:tab w:val="left" w:pos="2085"/>
        </w:tabs>
        <w:jc w:val="both"/>
        <w:rPr>
          <w:sz w:val="24"/>
          <w:szCs w:val="24"/>
        </w:rPr>
      </w:pPr>
    </w:p>
    <w:p w:rsidR="003E7B2A" w:rsidRDefault="003E7B2A" w:rsidP="003E7B2A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 1.  ЦЕЛЬ  И  ЗАДАЧИ  ПРОГРАММЫ,  ЦЕЛЕВЫЕ</w:t>
      </w:r>
    </w:p>
    <w:p w:rsidR="003E7B2A" w:rsidRDefault="003E7B2A" w:rsidP="003E7B2A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 ПРОГРАММЫ,  СРОКИ  РЕАЛИЗАЦИИ</w:t>
      </w:r>
    </w:p>
    <w:p w:rsidR="003E7B2A" w:rsidRDefault="003E7B2A" w:rsidP="003E7B2A">
      <w:pPr>
        <w:tabs>
          <w:tab w:val="left" w:pos="3120"/>
          <w:tab w:val="left" w:pos="3330"/>
        </w:tabs>
        <w:jc w:val="both"/>
        <w:rPr>
          <w:sz w:val="24"/>
          <w:szCs w:val="24"/>
        </w:rPr>
      </w:pP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 Цель Программы – обеспечение  жильем граждан, проживающих в домах, признанных непригодными для проживания, и ликвидация ветхого и аварийного жилищного фонда, признанного таковым до 1 января 2012 года.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Программы является обеспечение жильем граждан, проживающих в домах, признанных непригодными для постоянного проживания.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В процессе достижения поставленной цели в 2015 – 2017 годах должна быть решена задача по обеспечению жильем граждан, проживающих в домах, признанных непригодными для проживания, осуществляемая путем строительства, реконструкции жилых помещений и (или) приобретению жилых помещений путем заключения договоров участия в долевом строительстве с застройщиками либо путем приобретения новых, не бывших в эксплуатации, жилых помещений у лиц, </w:t>
      </w:r>
      <w:r>
        <w:rPr>
          <w:sz w:val="28"/>
          <w:szCs w:val="28"/>
        </w:rPr>
        <w:lastRenderedPageBreak/>
        <w:t>осуществляющих строительство этих жилых</w:t>
      </w:r>
      <w:proofErr w:type="gramEnd"/>
      <w:r>
        <w:rPr>
          <w:sz w:val="28"/>
          <w:szCs w:val="28"/>
        </w:rPr>
        <w:t xml:space="preserve"> помещений, для переселения граждан из непригодного для проживания жилищного фонда в Среднемуйском  муниципальном образовании, признанного до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января  2012 года в установленном порядке ветхим либо аварийным и подлежащим сносу  в связи с физическим износом в процессе  его эксплуатации. 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Своевременное решение поставленной задачи будет способствовать достижению целевых индикаторов, установленных Программой, и ее цели.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Целевыми показателями оценки хода реализации Программы являются: 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 объем введенных в эксплуатацию объектов капитального строительства в ходе реализации Программы  (10 778 кв.м.);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доля семей, переселенных из ветхого и аварийного  жилья, в общем количестве семей, нуждающихся в переселении  (230семей  нуждается в переселении по состоянию на 1 января  2012 года); 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площадь снесенного непригодного для проживания жилищного фонда  (10 778 кв.м. признанного таковым до 1 января 2012 года).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 Срок реализации Программы: с 2014 по 2020 год.</w:t>
      </w:r>
    </w:p>
    <w:p w:rsidR="003E7B2A" w:rsidRDefault="003E7B2A" w:rsidP="003E7B2A">
      <w:pPr>
        <w:tabs>
          <w:tab w:val="left" w:pos="3120"/>
          <w:tab w:val="left" w:pos="3330"/>
        </w:tabs>
        <w:ind w:firstLine="600"/>
        <w:jc w:val="both"/>
        <w:rPr>
          <w:sz w:val="28"/>
          <w:szCs w:val="28"/>
        </w:rPr>
      </w:pPr>
    </w:p>
    <w:p w:rsidR="003E7B2A" w:rsidRDefault="003E7B2A" w:rsidP="003E7B2A">
      <w:pPr>
        <w:tabs>
          <w:tab w:val="left" w:pos="975"/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 2.ОСНОВНЫЕ  МЕРОПРИЯТИЯ  ПРОГРАММЫ</w:t>
      </w:r>
    </w:p>
    <w:p w:rsidR="003E7B2A" w:rsidRDefault="003E7B2A" w:rsidP="003E7B2A">
      <w:pPr>
        <w:tabs>
          <w:tab w:val="left" w:pos="975"/>
          <w:tab w:val="left" w:pos="1755"/>
        </w:tabs>
        <w:jc w:val="both"/>
        <w:rPr>
          <w:sz w:val="28"/>
          <w:szCs w:val="28"/>
        </w:rPr>
      </w:pPr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Программы осуществляется путем реализации мероприятия по строительству и (или) приобретению, реконструкции жилых помещений.</w:t>
      </w:r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в себя следующие  мероприятия:</w:t>
      </w:r>
    </w:p>
    <w:p w:rsidR="003E7B2A" w:rsidRDefault="003E7B2A" w:rsidP="003E7B2A">
      <w:pPr>
        <w:pStyle w:val="ConsPlusNormal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между Министерством и </w:t>
      </w:r>
      <w:proofErr w:type="spellStart"/>
      <w:r>
        <w:rPr>
          <w:rFonts w:ascii="Times New Roman" w:hAnsi="Times New Roman"/>
          <w:sz w:val="28"/>
          <w:szCs w:val="28"/>
        </w:rPr>
        <w:t>Среднемуйским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соглашения о предоставлении субсидии в рамках реализации Программы, предоставление субсидии из областного бюджета 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по строительству и (или) приобретению, реконструкции жилых помещений для переселения граждан из непригодного для проживания Среднемуйского жилищного фонда  (далее – субсидии).</w:t>
      </w:r>
    </w:p>
    <w:p w:rsidR="003E7B2A" w:rsidRDefault="003E7B2A" w:rsidP="003E7B2A">
      <w:pPr>
        <w:pStyle w:val="ConsPlusNormal0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муниципальных контрактов на строительство и (или) приобретение, реконструкцию жилых помещений для переселения граждан из непригодного для проживания жилищного фонда Иркутской области.</w:t>
      </w:r>
    </w:p>
    <w:p w:rsidR="003E7B2A" w:rsidRDefault="003E7B2A" w:rsidP="003E7B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муниципальных контрактов на строительство и (или) приобретение у застройщиков жилых помещений производится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Градостроительным кодексом Российской Федерации.</w:t>
      </w:r>
    </w:p>
    <w:p w:rsidR="003E7B2A" w:rsidRDefault="003E7B2A" w:rsidP="003E7B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муниципального контракта на строительство и (или) приобретение, реконструкцию жилых помещений формируется </w:t>
      </w:r>
      <w:proofErr w:type="spellStart"/>
      <w:r>
        <w:rPr>
          <w:rFonts w:ascii="Times New Roman" w:hAnsi="Times New Roman"/>
          <w:sz w:val="28"/>
          <w:szCs w:val="28"/>
        </w:rPr>
        <w:t>Среднемуйским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в соответствии с законодательством.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максимальная </w:t>
      </w:r>
      <w:r>
        <w:rPr>
          <w:rFonts w:ascii="Times New Roman" w:hAnsi="Times New Roman"/>
          <w:sz w:val="28"/>
          <w:szCs w:val="28"/>
        </w:rPr>
        <w:lastRenderedPageBreak/>
        <w:t xml:space="preserve">стоимость одного квадратного метра строительства и (или) приобретения, реконструкции жилых помещений не должна превышать норматив стоимости одного квадратного метра общей площади жилого помещения, устанавливаемый для Иркутской области правовым актом Правительства Иркутской области на год, в котором планируется реализация мероприятий Программы (далее – норматив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>. общей площади жилого помещения).</w:t>
      </w:r>
      <w:proofErr w:type="gramEnd"/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случае заключения муниципального контракта на строительство и (или) приобретение, реконструкцию жилых помещений для переселения граждан из домов, признанных непригодными для проживания, по цене, превышающей норматив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 общей площади жилого помещения, финансирование расходов на оплату стоимости такого превышения осуществляется за счет средств местного бюджета Среднемуйского муниципального образования.</w:t>
      </w:r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заключения муниципального контракта на строительство и (или) приобретение, реконструкцию жилых помещений для переселения граждан из непригодного для проживания жилищного фонда по цене меньшей, чем норматив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8"/>
            <w:szCs w:val="28"/>
          </w:rPr>
          <w:t>1 кв. м</w:t>
        </w:r>
      </w:smartTag>
      <w:r>
        <w:rPr>
          <w:sz w:val="28"/>
          <w:szCs w:val="28"/>
        </w:rPr>
        <w:t>. общей площади жилого помещения, средства областного бюджета и средства местного бюджетов в сумме, составляющей разность между указанными ценами, могут расходоваться на оплату стоимости превышения общей площади жилого помещения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 предоставления гражданину, переселяемому из непригодного для проживания жилищного фонда, жилого помещения, общая площадь которого превышает общую площадь ранее занимаемого им жилого помещения, но не больше определяемой в соответствии с законодательством нормы общей площади жилого помещения:</w:t>
      </w:r>
      <w:proofErr w:type="gramEnd"/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3 кв. м"/>
        </w:smartTagPr>
        <w:r>
          <w:rPr>
            <w:sz w:val="28"/>
            <w:szCs w:val="28"/>
          </w:rPr>
          <w:t>33 кв. м</w:t>
        </w:r>
      </w:smartTag>
      <w:r>
        <w:rPr>
          <w:sz w:val="28"/>
          <w:szCs w:val="28"/>
        </w:rPr>
        <w:t>. - на одиноко проживающего гражданина;</w:t>
      </w:r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1 кв. м"/>
        </w:smartTagPr>
        <w:r>
          <w:rPr>
            <w:sz w:val="28"/>
            <w:szCs w:val="28"/>
          </w:rPr>
          <w:t>21 кв. м</w:t>
        </w:r>
      </w:smartTag>
      <w:r>
        <w:rPr>
          <w:sz w:val="28"/>
          <w:szCs w:val="28"/>
        </w:rPr>
        <w:t>.- на одного члена семьи, состоящей из двух человек;</w:t>
      </w:r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 кв. м"/>
        </w:smartTagPr>
        <w:r>
          <w:rPr>
            <w:sz w:val="28"/>
            <w:szCs w:val="28"/>
          </w:rPr>
          <w:t>18 кв. м</w:t>
        </w:r>
      </w:smartTag>
      <w:r>
        <w:rPr>
          <w:sz w:val="28"/>
          <w:szCs w:val="28"/>
        </w:rPr>
        <w:t>. - на одного члена семьи, состоящей из трех и более человек.</w:t>
      </w:r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реализации мероприятий по переселению граждан из непригодного для проживания жилищного фонда путем строительства или реконструкции жилых помещений </w:t>
      </w:r>
      <w:proofErr w:type="spellStart"/>
      <w:r>
        <w:rPr>
          <w:sz w:val="28"/>
          <w:szCs w:val="28"/>
        </w:rPr>
        <w:t>Среднемуйское</w:t>
      </w:r>
      <w:proofErr w:type="spellEnd"/>
      <w:r>
        <w:rPr>
          <w:sz w:val="28"/>
          <w:szCs w:val="28"/>
        </w:rPr>
        <w:t xml:space="preserve"> муниципальное образование имеет право расходовать средства на выполнение мероприятий, предусмотренных сводным сметным расчетом, составленным в соответствии с пунктом 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года № 87</w:t>
      </w:r>
      <w:proofErr w:type="gramEnd"/>
      <w:r>
        <w:rPr>
          <w:sz w:val="28"/>
          <w:szCs w:val="28"/>
        </w:rPr>
        <w:t>, пропорционально за счет средств областного бюджета и бюджета Среднемуйского муниципального образования.</w:t>
      </w:r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Строительный контроль осуществляется </w:t>
      </w:r>
      <w:proofErr w:type="spellStart"/>
      <w:r>
        <w:rPr>
          <w:sz w:val="28"/>
          <w:szCs w:val="28"/>
        </w:rPr>
        <w:t>Среднемуйским</w:t>
      </w:r>
      <w:proofErr w:type="spellEnd"/>
      <w:r>
        <w:rPr>
          <w:sz w:val="28"/>
          <w:szCs w:val="28"/>
        </w:rPr>
        <w:t xml:space="preserve"> муниципальным образованием в соответствии с требованиями Градостроительного кодекса Российской Федерации в порядке, установленном постановлением Правительства Российской Федерации от </w:t>
      </w:r>
      <w:r>
        <w:rPr>
          <w:sz w:val="28"/>
          <w:szCs w:val="28"/>
        </w:rPr>
        <w:br/>
        <w:t xml:space="preserve">21 июня 2010 года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пропорционально за счет средств </w:t>
      </w:r>
      <w:r>
        <w:rPr>
          <w:sz w:val="28"/>
          <w:szCs w:val="28"/>
        </w:rPr>
        <w:lastRenderedPageBreak/>
        <w:t>областного бюджета и бюджета Среднемуйского муниципального образования.</w:t>
      </w:r>
      <w:proofErr w:type="gramEnd"/>
    </w:p>
    <w:p w:rsidR="003E7B2A" w:rsidRDefault="003E7B2A" w:rsidP="003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жилых помещений на условиях долевого участия в строительстве осуществляется </w:t>
      </w:r>
      <w:proofErr w:type="spellStart"/>
      <w:r>
        <w:rPr>
          <w:sz w:val="28"/>
          <w:szCs w:val="28"/>
        </w:rPr>
        <w:t>Среднемуйским</w:t>
      </w:r>
      <w:proofErr w:type="spellEnd"/>
      <w:r>
        <w:rPr>
          <w:sz w:val="28"/>
          <w:szCs w:val="28"/>
        </w:rPr>
        <w:t xml:space="preserve"> муниципальным образованием в соответствии с требованиями Федерального закона </w:t>
      </w:r>
      <w:r>
        <w:rPr>
          <w:sz w:val="28"/>
          <w:szCs w:val="28"/>
        </w:rPr>
        <w:br/>
        <w:t>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3E7B2A" w:rsidRDefault="003E7B2A" w:rsidP="003E7B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Переселение граждан и снос непригодного для проживания жилищного фонда.</w:t>
      </w:r>
    </w:p>
    <w:p w:rsidR="003E7B2A" w:rsidRDefault="003E7B2A" w:rsidP="003E7B2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Переселение граждан осуществляется в соответствии с жилищным законодательством Российской Федерации. Расселение непригодных для проживания жилых помещений осуществляется в соответствии с очередностью, устанавливаемой реестрами  ветхого и аварийного жилищного фонда Среднемуйского муниципального образования. В первоочередном порядке расселению подлежат жилые помещения аварийного  многоквартирного, затем одноквартирного жилищного фонда, что связано с высокой степенью опасности для жизни граждан при дальнейшей эксплуатации таких жилых помещений. Только в случае отсутствия на территории муниципального образования аварийного  муниципального  жилищного фонда расселению подлежит  ветхий муниципальный жилищный фонд. </w:t>
      </w:r>
    </w:p>
    <w:p w:rsidR="003E7B2A" w:rsidRDefault="003E7B2A" w:rsidP="003E7B2A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Переселение граждан и снос расселенных непригодных для проживания жилых домов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Среднемуйским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за счет средств местного бюджета.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</w:p>
    <w:p w:rsidR="003E7B2A" w:rsidRDefault="003E7B2A" w:rsidP="003E7B2A">
      <w:pPr>
        <w:ind w:firstLine="708"/>
        <w:jc w:val="both"/>
        <w:rPr>
          <w:sz w:val="28"/>
          <w:szCs w:val="28"/>
        </w:rPr>
      </w:pPr>
    </w:p>
    <w:p w:rsidR="003E7B2A" w:rsidRDefault="003E7B2A" w:rsidP="003E7B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 3. МЕРЫ  ГОСУДАРСТВЕННОГО  РЕГУЛИРОВАНИЯ,</w:t>
      </w:r>
    </w:p>
    <w:p w:rsidR="003E7B2A" w:rsidRDefault="003E7B2A" w:rsidP="003E7B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НАПРАВЛЕННЫЕ  НА  ДОСТИЖЕНИЕ  ЦЕЛИ  И  ЗАДАЧ</w:t>
      </w:r>
    </w:p>
    <w:p w:rsidR="003E7B2A" w:rsidRDefault="003E7B2A" w:rsidP="003E7B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Переселение граждан из непригодного для проживания жилищного фонда регулируются </w:t>
      </w:r>
      <w:hyperlink r:id="rId5" w:history="1">
        <w:r>
          <w:rPr>
            <w:rStyle w:val="a4"/>
            <w:sz w:val="28"/>
            <w:szCs w:val="28"/>
          </w:rPr>
          <w:t>статьями 32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4"/>
            <w:sz w:val="28"/>
            <w:szCs w:val="28"/>
          </w:rPr>
          <w:t>89</w:t>
        </w:r>
      </w:hyperlink>
      <w:r>
        <w:rPr>
          <w:sz w:val="28"/>
          <w:szCs w:val="28"/>
        </w:rPr>
        <w:t xml:space="preserve"> Жилищного кодекса Российской Федерации.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tab/>
      </w:r>
    </w:p>
    <w:p w:rsidR="003E7B2A" w:rsidRDefault="003E7B2A" w:rsidP="003E7B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4.  РЕСУРСНОЕ  ОБЕСПЕЧЕНИЕ  ПРОГРАММЫ</w:t>
      </w:r>
    </w:p>
    <w:p w:rsidR="003E7B2A" w:rsidRDefault="003E7B2A" w:rsidP="003E7B2A">
      <w:pPr>
        <w:jc w:val="both"/>
        <w:rPr>
          <w:sz w:val="24"/>
          <w:szCs w:val="24"/>
        </w:rPr>
      </w:pP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областного и местного бюджетов. Общий объем финансирования Программы составляет-  61266,46тыс. рублей,  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в  том  числе  по  годам: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2014  год  -   2983,96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2015  год  -   51 612,6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2016  год  - 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2017  год  - 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 год  -  2223,30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2019  год  -  2223,30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год  -  2223,30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3E7B2A" w:rsidRDefault="003E7B2A" w:rsidP="003E7B2A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из  них: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средства областного бюджета 59951,50тыс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годам:</w:t>
      </w:r>
    </w:p>
    <w:p w:rsidR="003E7B2A" w:rsidRDefault="003E7B2A" w:rsidP="003E7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2014  год   -   2 834,80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 год   -   50 580,30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2016  год  -  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2017  год  - 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2018  год  -  2178,80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2019  год  -  2178,80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2020  год  -  2178,80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firstLine="708"/>
        <w:jc w:val="both"/>
        <w:rPr>
          <w:sz w:val="16"/>
          <w:szCs w:val="16"/>
        </w:rPr>
      </w:pP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средства местного бюджета   -  1314,96 тыс. рублей, в том числе  по годам: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2014  год  -     149,125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2015  год  -     1 032,3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2016  год  -    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2017  год  -   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2018  год  -    44,512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2019  год  -    44,512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right="13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2020  год  -     44,511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E7B2A" w:rsidRDefault="003E7B2A" w:rsidP="003E7B2A">
      <w:pPr>
        <w:ind w:firstLine="708"/>
        <w:jc w:val="both"/>
        <w:rPr>
          <w:sz w:val="16"/>
          <w:szCs w:val="16"/>
        </w:rPr>
      </w:pPr>
    </w:p>
    <w:p w:rsidR="003E7B2A" w:rsidRDefault="003E7B2A" w:rsidP="003E7B2A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Объемы финансирования Программы ежегодно уточняются при формировании областного и местного бюджетов  исходя из возможностей бюджетов и затрат, необходимых для реализации Программы. </w:t>
      </w:r>
    </w:p>
    <w:p w:rsidR="003E7B2A" w:rsidRDefault="003E7B2A" w:rsidP="003E7B2A">
      <w:pPr>
        <w:ind w:firstLine="708"/>
        <w:jc w:val="both"/>
      </w:pPr>
    </w:p>
    <w:p w:rsidR="003E7B2A" w:rsidRDefault="003E7B2A" w:rsidP="003E7B2A">
      <w:pPr>
        <w:tabs>
          <w:tab w:val="left" w:pos="720"/>
          <w:tab w:val="left" w:pos="1485"/>
          <w:tab w:val="left" w:pos="1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z w:val="28"/>
          <w:szCs w:val="28"/>
        </w:rPr>
        <w:tab/>
        <w:t>5. ОЖИДАЕМЫЕ  РЕЗУЛЬТАТЫ  РЕАЛИЗАЦИИ</w:t>
      </w:r>
    </w:p>
    <w:p w:rsidR="003E7B2A" w:rsidRDefault="003E7B2A" w:rsidP="003E7B2A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3E7B2A" w:rsidRDefault="003E7B2A" w:rsidP="003E7B2A">
      <w:pPr>
        <w:jc w:val="both"/>
        <w:rPr>
          <w:sz w:val="28"/>
          <w:szCs w:val="28"/>
        </w:rPr>
      </w:pP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критериями  эффективности  реализации  Программы  являются  количество  граждан,  переселенных  из ветхого и аварийного  жилищного  фонда,  и  площадь  аварийных  домов,  жители  которых  переселены  в  рамках  выполнения  Программы.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результате  реализации  Программы  (к  концу  2020 года)  с учетом фактического освоения средств  должно  быть  снесено  -  4810кв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  аварийного  и  -  5968кв.м ветхого  жилищного  фонда.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Программы  позволит: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выполнить  обязательства  государства  перед  гражданами,  проживающими  в  непригодных  для  постоянного  проживания  условиях;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создать  благоприятные  условия  на  территории  Среднемуйского  муниципального образования  для  ежегодного  роста  объемов  нового  жилищного  строительства;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снизить  социальную  напряженность  в  обществе;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 создать  дополнительные  рабочие  места;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 улучшить  демографическую  ситуацию;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 улучшить  состояние  здоровья  населения;</w:t>
      </w:r>
    </w:p>
    <w:p w:rsidR="003E7B2A" w:rsidRDefault="003E7B2A" w:rsidP="003E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 обеспечить  градостроительное  развитие  и  улучшение  внешнего  облика  населенных  пунктов  Среднемуйского  муниципального образования.</w:t>
      </w:r>
    </w:p>
    <w:p w:rsidR="003E7B2A" w:rsidRDefault="003E7B2A" w:rsidP="003E7B2A">
      <w:pPr>
        <w:jc w:val="both"/>
        <w:rPr>
          <w:sz w:val="28"/>
          <w:szCs w:val="28"/>
        </w:rPr>
      </w:pPr>
    </w:p>
    <w:p w:rsidR="003E7B2A" w:rsidRDefault="003E7B2A" w:rsidP="003E7B2A">
      <w:pPr>
        <w:jc w:val="both"/>
        <w:rPr>
          <w:sz w:val="24"/>
          <w:szCs w:val="24"/>
        </w:rPr>
      </w:pPr>
    </w:p>
    <w:p w:rsidR="003E7B2A" w:rsidRDefault="003E7B2A" w:rsidP="003E7B2A">
      <w:pPr>
        <w:jc w:val="both"/>
      </w:pPr>
    </w:p>
    <w:p w:rsidR="003E7B2A" w:rsidRDefault="003E7B2A" w:rsidP="003E7B2A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3E7B2A" w:rsidRDefault="003E7B2A" w:rsidP="003E7B2A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Среднемуйского Мо</w:t>
      </w:r>
      <w:r>
        <w:rPr>
          <w:sz w:val="28"/>
          <w:szCs w:val="28"/>
        </w:rPr>
        <w:tab/>
        <w:t xml:space="preserve">      А.А. Лифа</w:t>
      </w:r>
    </w:p>
    <w:p w:rsidR="003E7B2A" w:rsidRDefault="003E7B2A" w:rsidP="003E7B2A">
      <w:pPr>
        <w:jc w:val="both"/>
        <w:rPr>
          <w:sz w:val="24"/>
          <w:szCs w:val="24"/>
        </w:rPr>
      </w:pPr>
    </w:p>
    <w:p w:rsidR="003E7B2A" w:rsidRDefault="003E7B2A" w:rsidP="003E7B2A"/>
    <w:p w:rsidR="001C401F" w:rsidRPr="003E7B2A" w:rsidRDefault="001C401F" w:rsidP="003E7B2A"/>
    <w:sectPr w:rsidR="001C401F" w:rsidRPr="003E7B2A" w:rsidSect="008571A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487"/>
    <w:multiLevelType w:val="hybridMultilevel"/>
    <w:tmpl w:val="324A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75F27"/>
    <w:multiLevelType w:val="hybridMultilevel"/>
    <w:tmpl w:val="74C07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C791C"/>
    <w:multiLevelType w:val="hybridMultilevel"/>
    <w:tmpl w:val="1970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8D"/>
    <w:rsid w:val="001C401F"/>
    <w:rsid w:val="003E7B2A"/>
    <w:rsid w:val="00994DB2"/>
    <w:rsid w:val="00F1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D"/>
    <w:pPr>
      <w:spacing w:after="0" w:line="240" w:lineRule="auto"/>
    </w:pPr>
    <w:rPr>
      <w:rFonts w:ascii="Arial" w:eastAsia="Times New Roman" w:hAnsi="Arial" w:cs="Arial"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8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E7B2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E7B2A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E7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520E6C4AB9C4AC57A90F3ED73732FBDE46C778737C9C0FD3226AC2A0F0E1AD28429B7AC45A663FR2Y1J" TargetMode="External"/><Relationship Id="rId5" Type="http://schemas.openxmlformats.org/officeDocument/2006/relationships/hyperlink" Target="consultantplus://offline/ref=E0520E6C4AB9C4AC57A90F3ED73732FBDE46C778737C9C0FD3226AC2A0F0E1AD28429B7AC45A613DR2Y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2597</Words>
  <Characters>14807</Characters>
  <Application>Microsoft Office Word</Application>
  <DocSecurity>0</DocSecurity>
  <Lines>123</Lines>
  <Paragraphs>34</Paragraphs>
  <ScaleCrop>false</ScaleCrop>
  <Company>Grizli777</Company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2015-07-15T07:42:00Z</dcterms:created>
  <dcterms:modified xsi:type="dcterms:W3CDTF">2015-07-15T07:54:00Z</dcterms:modified>
</cp:coreProperties>
</file>